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0FECC02E">
      <w:pPr>
        <w:pStyle w:val="139"/>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b/>
          <w:color w:val="000000"/>
          <w:sz w:val="48"/>
        </w:rPr>
        <w:t xml:space="preserve">Accessibility Statement</w:t>
      </w:r>
      <w:r>
        <w:rPr>
          <w:rFonts w:ascii="Arial" w:hAnsi="Arial" w:eastAsia="Arial" w:cs="Arial"/>
        </w:rPr>
      </w:r>
    </w:p>
    <w:p w14:paraId="3554BC57">
      <w:pPr>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color w:val="000000"/>
          <w:sz w:val="24"/>
        </w:rPr>
        <w:t xml:space="preserve">The Archway Surgery is committed to making this website accessible to as many people as possible, including people with disabilities.</w:t>
      </w:r>
      <w:r>
        <w:rPr>
          <w:rFonts w:ascii="Arial" w:hAnsi="Arial" w:eastAsia="Arial" w:cs="Arial"/>
        </w:rPr>
      </w:r>
    </w:p>
    <w:p w14:paraId="11C71856">
      <w:pPr>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color w:val="000000"/>
          <w:sz w:val="24"/>
        </w:rPr>
        <w:t xml:space="preserve">This accessibility statement applies to </w:t>
      </w:r>
      <w:hyperlink r:id="rId9" w:tooltip="http://www.thearchwaysurgery.co.uk/" w:history="1">
        <w:r>
          <w:rPr>
            <w:rStyle w:val="187"/>
            <w:rFonts w:ascii="Arial" w:hAnsi="Arial" w:eastAsia="Arial" w:cs="Arial"/>
            <w:b w:val="0"/>
            <w:bCs w:val="0"/>
            <w:color w:val="auto"/>
            <w:sz w:val="24"/>
            <w:u w:val="single"/>
          </w:rPr>
          <w:t xml:space="preserve">www.thearchwaysurgery.co.uk</w:t>
        </w:r>
      </w:hyperlink>
      <w:r>
        <w:rPr>
          <w:rFonts w:ascii="Arial" w:hAnsi="Arial" w:eastAsia="Arial" w:cs="Arial"/>
          <w:b w:val="0"/>
          <w:bCs w:val="0"/>
          <w:color w:val="auto"/>
          <w:sz w:val="24"/>
        </w:rPr>
        <w:t xml:space="preserve">.</w:t>
      </w:r>
      <w:r>
        <w:rPr>
          <w:rFonts w:ascii="Arial" w:hAnsi="Arial" w:eastAsia="Arial" w:cs="Arial"/>
        </w:rPr>
      </w:r>
    </w:p>
    <w:p w14:paraId="0D394153">
      <w:pPr>
        <w:pStyle w:val="140"/>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b/>
          <w:color w:val="000000"/>
          <w:sz w:val="36"/>
        </w:rPr>
        <w:t xml:space="preserve">Using this website</w:t>
      </w:r>
      <w:r>
        <w:rPr>
          <w:rFonts w:ascii="Arial" w:hAnsi="Arial" w:eastAsia="Arial" w:cs="Arial"/>
        </w:rPr>
      </w:r>
    </w:p>
    <w:p w14:paraId="2C122761">
      <w:pPr>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color w:val="000000"/>
          <w:sz w:val="24"/>
        </w:rPr>
        <w:t xml:space="preserve">We have designed the website so that, as far as possible, you should be able to:</w:t>
      </w:r>
      <w:r>
        <w:rPr>
          <w:rFonts w:ascii="Arial" w:hAnsi="Arial" w:eastAsia="Arial" w:cs="Arial"/>
        </w:rPr>
      </w:r>
    </w:p>
    <w:p w14:paraId="149A966B">
      <w:pPr>
        <w:pStyle w:val="668"/>
        <w:numPr>
          <w:ilvl w:val="0"/>
          <w:numId w:val="1"/>
        </w:numPr>
        <w:pBdr>
          <w:top w:val="none" w:color="000000" w:sz="4" w:space="0"/>
          <w:left w:val="none" w:color="000000" w:sz="4" w:space="0"/>
          <w:bottom w:val="none" w:color="000000" w:sz="4" w:space="0"/>
          <w:right w:val="none" w:color="000000" w:sz="4" w:space="0"/>
        </w:pBdr>
        <w:spacing/>
        <w:ind w:right="0"/>
        <w:rPr>
          <w:rFonts w:ascii="Arial" w:hAnsi="Arial" w:cs="Arial"/>
        </w:rPr>
      </w:pPr>
      <w:r>
        <w:rPr>
          <w:rFonts w:ascii="Arial" w:hAnsi="Arial" w:eastAsia="Arial" w:cs="Arial"/>
          <w:color w:val="000000"/>
          <w:sz w:val="24"/>
        </w:rPr>
        <w:t xml:space="preserve">zoom in without text becoming unreadable or disappearing</w:t>
      </w:r>
      <w:r>
        <w:rPr>
          <w:rFonts w:ascii="Arial" w:hAnsi="Arial" w:eastAsia="Arial" w:cs="Arial"/>
        </w:rPr>
      </w:r>
    </w:p>
    <w:p w14:paraId="08B6F4EA">
      <w:pPr>
        <w:pStyle w:val="668"/>
        <w:numPr>
          <w:ilvl w:val="0"/>
          <w:numId w:val="1"/>
        </w:numPr>
        <w:pBdr>
          <w:top w:val="none" w:color="000000" w:sz="4" w:space="0"/>
          <w:left w:val="none" w:color="000000" w:sz="4" w:space="0"/>
          <w:bottom w:val="none" w:color="000000" w:sz="4" w:space="0"/>
          <w:right w:val="none" w:color="000000" w:sz="4" w:space="0"/>
        </w:pBdr>
        <w:spacing/>
        <w:ind w:right="0"/>
        <w:rPr>
          <w:rFonts w:ascii="Arial" w:hAnsi="Arial" w:cs="Arial"/>
        </w:rPr>
      </w:pPr>
      <w:r>
        <w:rPr>
          <w:rFonts w:ascii="Arial" w:hAnsi="Arial" w:eastAsia="Arial" w:cs="Arial"/>
          <w:color w:val="000000"/>
          <w:sz w:val="24"/>
        </w:rPr>
        <w:t xml:space="preserve">navigate the website using a keyboard</w:t>
      </w:r>
      <w:r>
        <w:rPr>
          <w:rFonts w:ascii="Arial" w:hAnsi="Arial" w:eastAsia="Arial" w:cs="Arial"/>
        </w:rPr>
      </w:r>
    </w:p>
    <w:p w14:paraId="22F0B386">
      <w:pPr>
        <w:pStyle w:val="668"/>
        <w:numPr>
          <w:ilvl w:val="0"/>
          <w:numId w:val="1"/>
        </w:numPr>
        <w:pBdr>
          <w:top w:val="none" w:color="000000" w:sz="4" w:space="0"/>
          <w:left w:val="none" w:color="000000" w:sz="4" w:space="0"/>
          <w:bottom w:val="none" w:color="000000" w:sz="4" w:space="0"/>
          <w:right w:val="none" w:color="000000" w:sz="4" w:space="0"/>
        </w:pBdr>
        <w:spacing/>
        <w:ind w:right="0"/>
        <w:rPr>
          <w:rFonts w:ascii="Arial" w:hAnsi="Arial" w:cs="Arial"/>
        </w:rPr>
      </w:pPr>
      <w:r>
        <w:rPr>
          <w:rFonts w:ascii="Arial" w:hAnsi="Arial" w:eastAsia="Arial" w:cs="Arial"/>
          <w:color w:val="000000"/>
          <w:sz w:val="24"/>
        </w:rPr>
        <w:t xml:space="preserve">use the website with commonly used screen-reading software</w:t>
      </w:r>
      <w:r>
        <w:rPr>
          <w:rFonts w:ascii="Arial" w:hAnsi="Arial" w:eastAsia="Arial" w:cs="Arial"/>
        </w:rPr>
      </w:r>
    </w:p>
    <w:p w14:paraId="3C61B62C">
      <w:pPr>
        <w:pStyle w:val="668"/>
        <w:numPr>
          <w:ilvl w:val="0"/>
          <w:numId w:val="1"/>
        </w:numPr>
        <w:pBdr>
          <w:top w:val="none" w:color="000000" w:sz="4" w:space="0"/>
          <w:left w:val="none" w:color="000000" w:sz="4" w:space="0"/>
          <w:bottom w:val="none" w:color="000000" w:sz="4" w:space="0"/>
          <w:right w:val="none" w:color="000000" w:sz="4" w:space="0"/>
        </w:pBdr>
        <w:spacing/>
        <w:ind w:right="0"/>
        <w:rPr>
          <w:rFonts w:ascii="Arial" w:hAnsi="Arial" w:cs="Arial"/>
        </w:rPr>
      </w:pPr>
      <w:r>
        <w:rPr>
          <w:rFonts w:ascii="Arial" w:hAnsi="Arial" w:eastAsia="Arial" w:cs="Arial"/>
          <w:color w:val="000000"/>
          <w:sz w:val="24"/>
        </w:rPr>
        <w:t xml:space="preserve">understand the website using clear headings and straightforward language</w:t>
      </w:r>
      <w:r>
        <w:rPr>
          <w:rFonts w:ascii="Arial" w:hAnsi="Arial" w:eastAsia="Arial" w:cs="Arial"/>
        </w:rPr>
      </w:r>
    </w:p>
    <w:p w14:paraId="1FFD2102">
      <w:pPr>
        <w:pStyle w:val="668"/>
        <w:numPr>
          <w:ilvl w:val="0"/>
          <w:numId w:val="1"/>
        </w:numPr>
        <w:pBdr>
          <w:top w:val="none" w:color="000000" w:sz="4" w:space="0"/>
          <w:left w:val="none" w:color="000000" w:sz="4" w:space="0"/>
          <w:bottom w:val="none" w:color="000000" w:sz="4" w:space="0"/>
          <w:right w:val="none" w:color="000000" w:sz="4" w:space="0"/>
        </w:pBdr>
        <w:spacing/>
        <w:ind w:right="0"/>
        <w:rPr>
          <w:rFonts w:ascii="Arial" w:hAnsi="Arial" w:cs="Arial"/>
        </w:rPr>
      </w:pPr>
      <w:r>
        <w:rPr>
          <w:rFonts w:ascii="Arial" w:hAnsi="Arial" w:eastAsia="Arial" w:cs="Arial"/>
          <w:color w:val="000000"/>
          <w:sz w:val="24"/>
        </w:rPr>
        <w:t xml:space="preserve">view the website on different screen sizes, including mobile phones and tablets</w:t>
      </w:r>
      <w:r>
        <w:rPr>
          <w:rFonts w:ascii="Arial" w:hAnsi="Arial" w:eastAsia="Arial" w:cs="Arial"/>
        </w:rPr>
      </w:r>
    </w:p>
    <w:p w14:paraId="771ADCA9">
      <w:pPr>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color w:val="000000"/>
          <w:sz w:val="24"/>
        </w:rPr>
        <w:t xml:space="preserve">We aim to use appropriate colour contrast, meaningful headings, descriptive links and alternative text for images where this is needed.</w:t>
      </w:r>
      <w:r>
        <w:rPr>
          <w:rFonts w:ascii="Arial" w:hAnsi="Arial" w:eastAsia="Arial" w:cs="Arial"/>
        </w:rPr>
      </w:r>
    </w:p>
    <w:p w14:paraId="2A96D284">
      <w:pPr>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color w:val="000000"/>
          <w:sz w:val="24"/>
        </w:rPr>
        <w:t xml:space="preserve">You can find advice on making your device easier to use on the </w:t>
      </w:r>
      <w:hyperlink r:id="rId10" w:tooltip="https://abilitynet.org.uk/" w:history="1">
        <w:r>
          <w:rPr>
            <w:rStyle w:val="187"/>
            <w:rFonts w:ascii="Arial" w:hAnsi="Arial" w:eastAsia="Arial" w:cs="Arial"/>
            <w:color w:val="0000ee"/>
            <w:sz w:val="24"/>
            <w:u w:val="none"/>
          </w:rPr>
          <w:t xml:space="preserve">AbilityNet website</w:t>
        </w:r>
      </w:hyperlink>
      <w:r>
        <w:rPr>
          <w:rFonts w:ascii="Arial" w:hAnsi="Arial" w:eastAsia="Arial" w:cs="Arial"/>
          <w:color w:val="000000"/>
          <w:sz w:val="24"/>
        </w:rPr>
        <w:t xml:space="preserve">.</w:t>
      </w:r>
      <w:r>
        <w:rPr>
          <w:rFonts w:ascii="Arial" w:hAnsi="Arial" w:eastAsia="Arial" w:cs="Arial"/>
        </w:rPr>
      </w:r>
    </w:p>
    <w:p w14:paraId="2D8C8BE0">
      <w:pPr>
        <w:pStyle w:val="140"/>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b/>
          <w:color w:val="000000"/>
          <w:sz w:val="36"/>
        </w:rPr>
        <w:t xml:space="preserve">How accessible this website is</w:t>
      </w:r>
      <w:r>
        <w:rPr>
          <w:rFonts w:ascii="Arial" w:hAnsi="Arial" w:eastAsia="Arial" w:cs="Arial"/>
        </w:rPr>
      </w:r>
    </w:p>
    <w:p w14:paraId="29DDC35D">
      <w:pPr>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color w:val="000000"/>
          <w:sz w:val="24"/>
        </w:rPr>
        <w:t xml:space="preserve">This website is </w:t>
      </w:r>
      <w:r>
        <w:rPr>
          <w:rFonts w:ascii="Arial" w:hAnsi="Arial" w:eastAsia="Arial" w:cs="Arial"/>
          <w:b/>
          <w:color w:val="000000"/>
          <w:sz w:val="24"/>
        </w:rPr>
        <w:t xml:space="preserve">partially compliant with the Web Content Accessibility Guidelines (WCAG) version 2.2 AA standard</w:t>
      </w:r>
      <w:r>
        <w:rPr>
          <w:rFonts w:ascii="Arial" w:hAnsi="Arial" w:eastAsia="Arial" w:cs="Arial"/>
          <w:color w:val="000000"/>
          <w:sz w:val="24"/>
        </w:rPr>
        <w:t xml:space="preserve">.</w:t>
      </w:r>
      <w:r>
        <w:rPr>
          <w:rFonts w:ascii="Arial" w:hAnsi="Arial" w:eastAsia="Arial" w:cs="Arial"/>
        </w:rPr>
      </w:r>
    </w:p>
    <w:p w14:paraId="5A90A7BD">
      <w:pPr>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color w:val="000000"/>
          <w:sz w:val="24"/>
        </w:rPr>
        <w:t xml:space="preserve">We are continuing to review the website and improve its accessibility.</w:t>
      </w:r>
      <w:r>
        <w:rPr>
          <w:rFonts w:ascii="Arial" w:hAnsi="Arial" w:eastAsia="Arial" w:cs="Arial"/>
        </w:rPr>
      </w:r>
    </w:p>
    <w:p w14:paraId="7AB7E113">
      <w:pPr>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color w:val="000000"/>
          <w:sz w:val="24"/>
        </w:rPr>
        <w:t xml:space="preserve">Some content provided by third parties, or websites that we link to, is outside our control and may not meet the same accessibility standards.</w:t>
      </w:r>
      <w:r>
        <w:rPr>
          <w:rFonts w:ascii="Arial" w:hAnsi="Arial" w:eastAsia="Arial" w:cs="Arial"/>
        </w:rPr>
      </w:r>
    </w:p>
    <w:p w14:paraId="2A271314">
      <w:pPr>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color w:val="000000"/>
          <w:sz w:val="24"/>
        </w:rPr>
        <w:t xml:space="preserve">Some documents available to download, particularly older PDF documents, may not be fully accessible to screen-reader software.</w:t>
      </w:r>
      <w:r>
        <w:rPr>
          <w:rFonts w:ascii="Arial" w:hAnsi="Arial" w:eastAsia="Arial" w:cs="Arial"/>
        </w:rPr>
      </w:r>
    </w:p>
    <w:p w14:paraId="0B3B10B7">
      <w:pPr>
        <w:pStyle w:val="140"/>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b/>
          <w:color w:val="000000"/>
          <w:sz w:val="36"/>
        </w:rPr>
        <w:t xml:space="preserve">Feedback and contact information</w:t>
      </w:r>
      <w:r>
        <w:rPr>
          <w:rFonts w:ascii="Arial" w:hAnsi="Arial" w:eastAsia="Arial" w:cs="Arial"/>
        </w:rPr>
      </w:r>
    </w:p>
    <w:p w14:paraId="6D33B598">
      <w:pPr>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color w:val="000000"/>
          <w:sz w:val="24"/>
        </w:rPr>
        <w:t xml:space="preserve">If you have difficulty using any part of this website, find an accessibility problem that is not listed on this page, or think that we are not meeting accessibility requirements, please contact </w:t>
      </w:r>
      <w:r>
        <w:rPr>
          <w:rFonts w:ascii="Arial" w:hAnsi="Arial" w:eastAsia="Arial" w:cs="Arial"/>
          <w:color w:val="000000"/>
          <w:sz w:val="24"/>
          <w:lang w:val="en-US"/>
        </w:rPr>
        <w:t xml:space="preserve">The Archway Surgery.  </w:t>
      </w:r>
      <w:r>
        <w:rPr>
          <w:rFonts w:ascii="Arial" w:hAnsi="Arial" w:eastAsia="Arial" w:cs="Arial"/>
          <w:color w:val="000000"/>
          <w:sz w:val="24"/>
        </w:rPr>
        <w:t xml:space="preserve">We will consider your request and try to provide the information you need in an alternative format where reasonably possible.</w:t>
      </w:r>
      <w:r>
        <w:rPr>
          <w:rFonts w:ascii="Arial" w:hAnsi="Arial" w:eastAsia="Arial" w:cs="Arial"/>
        </w:rPr>
      </w:r>
      <w:r>
        <w:rPr>
          <w:rFonts w:ascii="Arial" w:hAnsi="Arial" w:eastAsia="Arial" w:cs="Arial"/>
          <w:sz w:val="24"/>
        </w:rPr>
      </w:r>
    </w:p>
    <w:p w14:paraId="5B0368AB">
      <w:pPr>
        <w:pStyle w:val="140"/>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b/>
          <w:color w:val="000000"/>
          <w:sz w:val="36"/>
        </w:rPr>
        <w:t xml:space="preserve">Reporting accessibility problems</w:t>
      </w:r>
      <w:r>
        <w:rPr>
          <w:rFonts w:ascii="Arial" w:hAnsi="Arial" w:eastAsia="Arial" w:cs="Arial"/>
        </w:rPr>
      </w:r>
    </w:p>
    <w:p w14:paraId="70F8196B">
      <w:pPr>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color w:val="000000"/>
          <w:sz w:val="24"/>
        </w:rPr>
        <w:t xml:space="preserve">We are always looking to improve the accessibility of this website.</w:t>
      </w:r>
      <w:r>
        <w:rPr>
          <w:rFonts w:ascii="Arial" w:hAnsi="Arial" w:eastAsia="Arial" w:cs="Arial"/>
        </w:rPr>
      </w:r>
    </w:p>
    <w:p w14:paraId="39285B25">
      <w:pPr>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color w:val="000000"/>
          <w:sz w:val="24"/>
        </w:rPr>
        <w:t xml:space="preserve">If you find a problem, please contact the practice using the details above and tell us which page or part of the website you were having difficulty with.</w:t>
      </w:r>
      <w:r>
        <w:rPr>
          <w:rFonts w:ascii="Arial" w:hAnsi="Arial" w:eastAsia="Arial" w:cs="Arial"/>
        </w:rPr>
      </w:r>
    </w:p>
    <w:p w14:paraId="74924C7A">
      <w:pPr>
        <w:pStyle w:val="140"/>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b/>
          <w:color w:val="000000"/>
          <w:sz w:val="36"/>
        </w:rPr>
        <w:t xml:space="preserve">Enforcement procedure</w:t>
      </w:r>
      <w:r>
        <w:rPr>
          <w:rFonts w:ascii="Arial" w:hAnsi="Arial" w:eastAsia="Arial" w:cs="Arial"/>
        </w:rPr>
      </w:r>
    </w:p>
    <w:p w14:paraId="4D0CC201">
      <w:pPr>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color w:val="000000"/>
          <w:sz w:val="24"/>
        </w:rPr>
        <w:t xml:space="preserve">The </w:t>
      </w:r>
      <w:r>
        <w:rPr>
          <w:rFonts w:ascii="Arial" w:hAnsi="Arial" w:eastAsia="Arial" w:cs="Arial"/>
          <w:b/>
          <w:color w:val="000000"/>
          <w:sz w:val="24"/>
        </w:rPr>
        <w:t xml:space="preserve">Equality Commission for Northern Ireland (ECNI)</w:t>
      </w:r>
      <w:r>
        <w:rPr>
          <w:rFonts w:ascii="Arial" w:hAnsi="Arial" w:eastAsia="Arial" w:cs="Arial"/>
          <w:color w:val="000000"/>
          <w:sz w:val="24"/>
        </w:rPr>
        <w:t xml:space="preserve"> is responsible for enforcing the accessibility requirements in Northern Ireland.</w:t>
      </w:r>
      <w:r>
        <w:rPr>
          <w:rFonts w:ascii="Arial" w:hAnsi="Arial" w:eastAsia="Arial" w:cs="Arial"/>
        </w:rPr>
      </w:r>
    </w:p>
    <w:p w14:paraId="1423FA5B">
      <w:pPr>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color w:val="000000"/>
          <w:sz w:val="24"/>
        </w:rPr>
        <w:t xml:space="preserve">If you are not happy with how we respond to your accessibility concern, you can contact the </w:t>
      </w:r>
      <w:hyperlink r:id="rId11" w:tooltip="https://www.equalityni.org/" w:history="1">
        <w:r>
          <w:rPr>
            <w:rStyle w:val="187"/>
            <w:rFonts w:ascii="Arial" w:hAnsi="Arial" w:eastAsia="Arial" w:cs="Arial"/>
            <w:color w:val="0000ee"/>
            <w:sz w:val="24"/>
            <w:u w:val="none"/>
          </w:rPr>
          <w:t xml:space="preserve">Equality Commission for Northern Ireland</w:t>
        </w:r>
      </w:hyperlink>
      <w:r>
        <w:rPr>
          <w:rFonts w:ascii="Arial" w:hAnsi="Arial" w:eastAsia="Arial" w:cs="Arial"/>
          <w:color w:val="000000"/>
          <w:sz w:val="24"/>
        </w:rPr>
        <w:t xml:space="preserve">.</w:t>
      </w:r>
      <w:r>
        <w:rPr>
          <w:rFonts w:ascii="Arial" w:hAnsi="Arial" w:eastAsia="Arial" w:cs="Arial"/>
        </w:rPr>
      </w:r>
    </w:p>
    <w:p w14:paraId="3F00CACC">
      <w:pPr>
        <w:pStyle w:val="140"/>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b/>
          <w:color w:val="000000"/>
          <w:sz w:val="36"/>
        </w:rPr>
        <w:t xml:space="preserve">Technical information about this website's accessibility</w:t>
      </w:r>
      <w:r>
        <w:rPr>
          <w:rFonts w:ascii="Arial" w:hAnsi="Arial" w:eastAsia="Arial" w:cs="Arial"/>
        </w:rPr>
      </w:r>
    </w:p>
    <w:p w14:paraId="518DC0F5">
      <w:pPr>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color w:val="000000"/>
          <w:sz w:val="24"/>
        </w:rPr>
        <w:t xml:space="preserve">The Archway Surgery is committed to making its website accessible in accordance with the </w:t>
      </w:r>
      <w:r>
        <w:rPr>
          <w:rFonts w:ascii="Arial" w:hAnsi="Arial" w:eastAsia="Arial" w:cs="Arial"/>
          <w:b/>
          <w:color w:val="000000"/>
          <w:sz w:val="24"/>
        </w:rPr>
        <w:t xml:space="preserve">Public Sector Bodies (Websites and Mobile Applications) (No. 2) Accessibility Regulations 2018</w:t>
      </w:r>
      <w:r>
        <w:rPr>
          <w:rFonts w:ascii="Arial" w:hAnsi="Arial" w:eastAsia="Arial" w:cs="Arial"/>
          <w:color w:val="000000"/>
          <w:sz w:val="24"/>
        </w:rPr>
        <w:t xml:space="preserve">.</w:t>
      </w:r>
      <w:r>
        <w:rPr>
          <w:rFonts w:ascii="Arial" w:hAnsi="Arial" w:eastAsia="Arial" w:cs="Arial"/>
        </w:rPr>
      </w:r>
    </w:p>
    <w:p w14:paraId="53B1647A">
      <w:pPr>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color w:val="000000"/>
          <w:sz w:val="24"/>
        </w:rPr>
        <w:t xml:space="preserve">This website is partially compliant with the </w:t>
      </w:r>
      <w:r>
        <w:rPr>
          <w:rFonts w:ascii="Arial" w:hAnsi="Arial" w:eastAsia="Arial" w:cs="Arial"/>
          <w:b/>
          <w:color w:val="000000"/>
          <w:sz w:val="24"/>
        </w:rPr>
        <w:t xml:space="preserve">Web Content Accessibility Guidelines version 2.2 AA standard</w:t>
      </w:r>
      <w:r>
        <w:rPr>
          <w:rFonts w:ascii="Arial" w:hAnsi="Arial" w:eastAsia="Arial" w:cs="Arial"/>
          <w:color w:val="000000"/>
          <w:sz w:val="24"/>
        </w:rPr>
        <w:t xml:space="preserve">.</w:t>
      </w:r>
      <w:r>
        <w:rPr>
          <w:rFonts w:ascii="Arial" w:hAnsi="Arial" w:eastAsia="Arial" w:cs="Arial"/>
        </w:rPr>
      </w:r>
    </w:p>
    <w:p w14:paraId="46EE1C89">
      <w:pPr>
        <w:pStyle w:val="140"/>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b/>
          <w:color w:val="000000"/>
          <w:sz w:val="36"/>
        </w:rPr>
        <w:t xml:space="preserve">Preparation of this accessibility statement</w:t>
      </w:r>
      <w:r>
        <w:rPr>
          <w:rFonts w:ascii="Arial" w:hAnsi="Arial" w:eastAsia="Arial" w:cs="Arial"/>
        </w:rPr>
      </w:r>
    </w:p>
    <w:p w14:paraId="4E184AB6">
      <w:pPr>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color w:val="000000"/>
          <w:sz w:val="24"/>
        </w:rPr>
        <w:t xml:space="preserve">This statement was prepared on </w:t>
      </w:r>
      <w:r>
        <w:rPr>
          <w:rFonts w:ascii="Arial" w:hAnsi="Arial" w:eastAsia="Arial" w:cs="Arial"/>
          <w:color w:val="000000"/>
          <w:sz w:val="24"/>
          <w:lang w:val="en-US"/>
        </w:rPr>
        <w:t xml:space="preserve">1.9.26.</w:t>
      </w:r>
      <w:r>
        <w:rPr>
          <w:rFonts w:ascii="Arial" w:hAnsi="Arial" w:eastAsia="Arial" w:cs="Arial"/>
          <w:color w:val="000000"/>
          <w:sz w:val="24"/>
        </w:rPr>
      </w:r>
      <w:r>
        <w:rPr>
          <w:rFonts w:ascii="Arial" w:hAnsi="Arial" w:eastAsia="Arial" w:cs="Arial"/>
        </w:rPr>
      </w:r>
    </w:p>
    <w:p w14:paraId="077C0F1F">
      <w:pPr>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color w:val="000000"/>
          <w:sz w:val="24"/>
        </w:rPr>
        <w:t xml:space="preserve">The website has been reviewed using</w:t>
      </w:r>
      <w:r>
        <w:rPr>
          <w:rFonts w:ascii="Arial" w:hAnsi="Arial" w:eastAsia="Arial" w:cs="Arial"/>
          <w:color w:val="000000"/>
          <w:sz w:val="24"/>
          <w:lang w:val="en-US"/>
        </w:rPr>
        <w:t xml:space="preserve"> accessibility tools and manual checks.</w:t>
      </w:r>
      <w:r>
        <w:rPr>
          <w:rFonts w:ascii="Arial" w:hAnsi="Arial" w:eastAsia="Arial" w:cs="Arial"/>
        </w:rPr>
      </w:r>
    </w:p>
    <w:p w14:paraId="32E783F7">
      <w:pPr>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color w:val="000000"/>
          <w:sz w:val="24"/>
        </w:rPr>
        <w:t xml:space="preserve">The statement will be reviewed when significant changes are made to the website and periodically thereafter.</w:t>
      </w:r>
      <w:r>
        <w:rPr>
          <w:rFonts w:ascii="Arial" w:hAnsi="Arial" w:eastAsia="Arial" w:cs="Arial"/>
        </w:rPr>
      </w:r>
    </w:p>
    <w:p>
      <w:pPr>
        <w:pBdr/>
        <w:spacing/>
        <w:ind/>
        <w:rPr>
          <w:rFonts w:ascii="Arial" w:hAnsi="Arial" w:cs="Arial"/>
        </w:rPr>
      </w:pPr>
      <w:r>
        <w:rPr>
          <w:rFonts w:ascii="Arial" w:hAnsi="Arial" w:eastAsia="Arial" w:cs="Arial"/>
        </w:rPr>
      </w:r>
      <w:r>
        <w:rPr>
          <w:rFonts w:ascii="Arial" w:hAnsi="Arial" w:eastAsia="Arial" w:cs="Arial"/>
        </w:rPr>
      </w:r>
    </w:p>
    <w:sectPr>
      <w:footnotePr/>
      <w:endnotePr/>
      <w:type w:val="nextPage"/>
      <w:pgSz w:h="16838" w:orient="portrait" w:w="11906"/>
      <w:pgMar w:top="1134" w:right="850"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Courier New">
    <w:panose1 w:val="02070309020205020404"/>
  </w:font>
  <w:font w:name="Symbol">
    <w:panose1 w:val="05010000000000000000"/>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0CBDA3"/>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GB"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665"/>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6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6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6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6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6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6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6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6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6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6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6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6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6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6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6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6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6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6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6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6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6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6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6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6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6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6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6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6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6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6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6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6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6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6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6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6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6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6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6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6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6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6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6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6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6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6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66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66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66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66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66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6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6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6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6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6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6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6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6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664"/>
    <w:next w:val="664"/>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664"/>
    <w:next w:val="664"/>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664"/>
    <w:next w:val="664"/>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664"/>
    <w:next w:val="664"/>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664"/>
    <w:next w:val="66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664"/>
    <w:next w:val="66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664"/>
    <w:next w:val="66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64"/>
    <w:next w:val="66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64"/>
    <w:next w:val="66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character" w:styleId="150">
    <w:name w:val="Heading 1 Char"/>
    <w:basedOn w:val="148"/>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142"/>
    <w:uiPriority w:val="9"/>
    <w:pPr>
      <w:pBdr/>
      <w:spacing/>
      <w:ind/>
    </w:pPr>
    <w:rPr>
      <w:rFonts w:ascii="Arial" w:hAnsi="Arial" w:eastAsia="Arial" w:cs="Arial"/>
      <w:i/>
      <w:iCs/>
      <w:color w:val="0f4761" w:themeColor="accent1" w:themeShade="BF"/>
    </w:rPr>
  </w:style>
  <w:style w:type="character" w:styleId="154">
    <w:name w:val="Heading 5 Char"/>
    <w:basedOn w:val="148"/>
    <w:link w:val="143"/>
    <w:uiPriority w:val="9"/>
    <w:pPr>
      <w:pBdr/>
      <w:spacing/>
      <w:ind/>
    </w:pPr>
    <w:rPr>
      <w:rFonts w:ascii="Arial" w:hAnsi="Arial" w:eastAsia="Arial" w:cs="Arial"/>
      <w:color w:val="0f4761" w:themeColor="accent1" w:themeShade="BF"/>
    </w:rPr>
  </w:style>
  <w:style w:type="character" w:styleId="155">
    <w:name w:val="Heading 6 Char"/>
    <w:basedOn w:val="148"/>
    <w:link w:val="144"/>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paragraph" w:styleId="159">
    <w:name w:val="Title"/>
    <w:basedOn w:val="664"/>
    <w:next w:val="664"/>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148"/>
    <w:link w:val="159"/>
    <w:uiPriority w:val="10"/>
    <w:pPr>
      <w:pBdr/>
      <w:spacing/>
      <w:ind/>
    </w:pPr>
    <w:rPr>
      <w:rFonts w:ascii="Arial" w:hAnsi="Arial" w:eastAsia="Arial" w:cs="Arial"/>
      <w:spacing w:val="-10"/>
      <w:sz w:val="56"/>
      <w:szCs w:val="56"/>
    </w:rPr>
  </w:style>
  <w:style w:type="paragraph" w:styleId="161">
    <w:name w:val="Subtitle"/>
    <w:basedOn w:val="664"/>
    <w:next w:val="664"/>
    <w:link w:val="162"/>
    <w:uiPriority w:val="11"/>
    <w:qFormat/>
    <w:pPr>
      <w:numPr>
        <w:ilvl w:val="1"/>
      </w:numPr>
      <w:pBdr/>
      <w:spacing/>
      <w:ind/>
    </w:pPr>
    <w:rPr>
      <w:color w:val="595959" w:themeColor="text1" w:themeTint="A6"/>
      <w:spacing w:val="15"/>
      <w:sz w:val="28"/>
      <w:szCs w:val="28"/>
    </w:rPr>
  </w:style>
  <w:style w:type="character" w:styleId="162">
    <w:name w:val="Subtitle Char"/>
    <w:basedOn w:val="148"/>
    <w:link w:val="161"/>
    <w:uiPriority w:val="11"/>
    <w:pPr>
      <w:pBdr/>
      <w:spacing/>
      <w:ind/>
    </w:pPr>
    <w:rPr>
      <w:color w:val="595959" w:themeColor="text1" w:themeTint="A6"/>
      <w:spacing w:val="15"/>
      <w:sz w:val="28"/>
      <w:szCs w:val="28"/>
    </w:rPr>
  </w:style>
  <w:style w:type="paragraph" w:styleId="163">
    <w:name w:val="Quote"/>
    <w:basedOn w:val="664"/>
    <w:next w:val="664"/>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664"/>
    <w:next w:val="66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3">
    <w:name w:val="Strong"/>
    <w:basedOn w:val="148"/>
    <w:uiPriority w:val="22"/>
    <w:qFormat/>
    <w:pPr>
      <w:pBdr/>
      <w:spacing/>
      <w:ind/>
    </w:pPr>
    <w:rPr>
      <w:b/>
      <w:b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664"/>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664"/>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664"/>
    <w:next w:val="664"/>
    <w:uiPriority w:val="35"/>
    <w:unhideWhenUsed/>
    <w:qFormat/>
    <w:pPr>
      <w:pBdr/>
      <w:spacing w:after="200" w:line="240" w:lineRule="auto"/>
      <w:ind/>
    </w:pPr>
    <w:rPr>
      <w:i/>
      <w:iCs/>
      <w:color w:val="0e2841" w:themeColor="text2"/>
      <w:sz w:val="18"/>
      <w:szCs w:val="18"/>
    </w:rPr>
  </w:style>
  <w:style w:type="paragraph" w:styleId="181">
    <w:name w:val="footnote text"/>
    <w:basedOn w:val="664"/>
    <w:link w:val="182"/>
    <w:uiPriority w:val="99"/>
    <w:semiHidden/>
    <w:unhideWhenUsed/>
    <w:pPr>
      <w:pBdr/>
      <w:spacing w:after="0" w:line="240" w:lineRule="auto"/>
      <w:ind/>
    </w:pPr>
    <w:rPr>
      <w:sz w:val="20"/>
      <w:szCs w:val="20"/>
    </w:rPr>
  </w:style>
  <w:style w:type="character" w:styleId="182">
    <w:name w:val="Footnote Text Char"/>
    <w:basedOn w:val="148"/>
    <w:link w:val="181"/>
    <w:uiPriority w:val="99"/>
    <w:semiHidden/>
    <w:pPr>
      <w:pBdr/>
      <w:spacing/>
      <w:ind/>
    </w:pPr>
    <w:rPr>
      <w:sz w:val="20"/>
      <w:szCs w:val="20"/>
    </w:rPr>
  </w:style>
  <w:style w:type="character" w:styleId="183">
    <w:name w:val="footnote reference"/>
    <w:basedOn w:val="148"/>
    <w:uiPriority w:val="99"/>
    <w:semiHidden/>
    <w:unhideWhenUsed/>
    <w:pPr>
      <w:pBdr/>
      <w:spacing/>
      <w:ind/>
    </w:pPr>
    <w:rPr>
      <w:vertAlign w:val="superscript"/>
    </w:rPr>
  </w:style>
  <w:style w:type="paragraph" w:styleId="184">
    <w:name w:val="endnote text"/>
    <w:basedOn w:val="664"/>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7">
    <w:name w:val="Hyperlink"/>
    <w:basedOn w:val="148"/>
    <w:uiPriority w:val="99"/>
    <w:unhideWhenUsed/>
    <w:pPr>
      <w:pBdr/>
      <w:spacing/>
      <w:ind/>
    </w:pPr>
    <w:rPr>
      <w:color w:val="0563c1" w:themeColor="hyperlink"/>
      <w:u w:val="single"/>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664"/>
    <w:next w:val="664"/>
    <w:uiPriority w:val="39"/>
    <w:unhideWhenUsed/>
    <w:pPr>
      <w:pBdr/>
      <w:spacing w:after="100"/>
      <w:ind/>
    </w:pPr>
  </w:style>
  <w:style w:type="paragraph" w:styleId="190">
    <w:name w:val="toc 2"/>
    <w:basedOn w:val="664"/>
    <w:next w:val="664"/>
    <w:uiPriority w:val="39"/>
    <w:unhideWhenUsed/>
    <w:pPr>
      <w:pBdr/>
      <w:spacing w:after="100"/>
      <w:ind w:left="220"/>
    </w:pPr>
  </w:style>
  <w:style w:type="paragraph" w:styleId="191">
    <w:name w:val="toc 3"/>
    <w:basedOn w:val="664"/>
    <w:next w:val="664"/>
    <w:uiPriority w:val="39"/>
    <w:unhideWhenUsed/>
    <w:pPr>
      <w:pBdr/>
      <w:spacing w:after="100"/>
      <w:ind w:left="440"/>
    </w:pPr>
  </w:style>
  <w:style w:type="paragraph" w:styleId="192">
    <w:name w:val="toc 4"/>
    <w:basedOn w:val="664"/>
    <w:next w:val="664"/>
    <w:uiPriority w:val="39"/>
    <w:unhideWhenUsed/>
    <w:pPr>
      <w:pBdr/>
      <w:spacing w:after="100"/>
      <w:ind w:left="660"/>
    </w:pPr>
  </w:style>
  <w:style w:type="paragraph" w:styleId="193">
    <w:name w:val="toc 5"/>
    <w:basedOn w:val="664"/>
    <w:next w:val="664"/>
    <w:uiPriority w:val="39"/>
    <w:unhideWhenUsed/>
    <w:pPr>
      <w:pBdr/>
      <w:spacing w:after="100"/>
      <w:ind w:left="880"/>
    </w:pPr>
  </w:style>
  <w:style w:type="paragraph" w:styleId="194">
    <w:name w:val="toc 6"/>
    <w:basedOn w:val="664"/>
    <w:next w:val="664"/>
    <w:uiPriority w:val="39"/>
    <w:unhideWhenUsed/>
    <w:pPr>
      <w:pBdr/>
      <w:spacing w:after="100"/>
      <w:ind w:left="1100"/>
    </w:pPr>
  </w:style>
  <w:style w:type="paragraph" w:styleId="195">
    <w:name w:val="toc 7"/>
    <w:basedOn w:val="664"/>
    <w:next w:val="664"/>
    <w:uiPriority w:val="39"/>
    <w:unhideWhenUsed/>
    <w:pPr>
      <w:pBdr/>
      <w:spacing w:after="100"/>
      <w:ind w:left="1320"/>
    </w:pPr>
  </w:style>
  <w:style w:type="paragraph" w:styleId="196">
    <w:name w:val="toc 8"/>
    <w:basedOn w:val="664"/>
    <w:next w:val="664"/>
    <w:uiPriority w:val="39"/>
    <w:unhideWhenUsed/>
    <w:pPr>
      <w:pBdr/>
      <w:spacing w:after="100"/>
      <w:ind w:left="1540"/>
    </w:pPr>
  </w:style>
  <w:style w:type="paragraph" w:styleId="197">
    <w:name w:val="toc 9"/>
    <w:basedOn w:val="664"/>
    <w:next w:val="664"/>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64"/>
    <w:next w:val="664"/>
    <w:uiPriority w:val="99"/>
    <w:unhideWhenUsed/>
    <w:pPr>
      <w:pBdr/>
      <w:spacing w:after="0" w:afterAutospacing="0"/>
      <w:ind/>
    </w:pPr>
  </w:style>
  <w:style w:type="paragraph" w:styleId="664" w:default="1">
    <w:name w:val="Normal"/>
    <w:qFormat/>
    <w:pPr>
      <w:pBdr/>
      <w:spacing/>
      <w:ind/>
    </w:pPr>
  </w:style>
  <w:style w:type="table" w:styleId="66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66" w:default="1">
    <w:name w:val="No List"/>
    <w:uiPriority w:val="99"/>
    <w:semiHidden/>
    <w:unhideWhenUsed/>
    <w:pPr>
      <w:pBdr/>
      <w:spacing/>
      <w:ind/>
    </w:pPr>
  </w:style>
  <w:style w:type="paragraph" w:styleId="667">
    <w:name w:val="No Spacing"/>
    <w:basedOn w:val="664"/>
    <w:uiPriority w:val="1"/>
    <w:qFormat/>
    <w:pPr>
      <w:pBdr/>
      <w:spacing w:after="0" w:line="240" w:lineRule="auto"/>
      <w:ind/>
    </w:pPr>
  </w:style>
  <w:style w:type="paragraph" w:styleId="668">
    <w:name w:val="List Paragraph"/>
    <w:basedOn w:val="664"/>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http://www.thearchwaysurgery.co.uk/" TargetMode="External"/><Relationship Id="rId10" Type="http://schemas.openxmlformats.org/officeDocument/2006/relationships/hyperlink" Target="https://abilitynet.org.uk/" TargetMode="External"/><Relationship Id="rId11" Type="http://schemas.openxmlformats.org/officeDocument/2006/relationships/hyperlink" Target="https://www.equalityni.org/"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cp:revision>
  <dcterms:modified xsi:type="dcterms:W3CDTF">2026-09-01T20:26:25Z</dcterms:modified>
</cp:coreProperties>
</file>